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24 57 vom 26. September 2024</w:t>
      </w:r>
    </w:p>
    <w:p>
      <w:r>
        <w:t>BL Gerichte, 2024-09-26, DE</w:t>
      </w:r>
    </w:p>
    <w:p>
      <w:r>
        <w:rPr>
          <w:b/>
        </w:rPr>
        <w:t xml:space="preserve">Quelle: </w:t>
      </w:r>
      <w:r>
        <w:t>https://mcp.opencaselaw.ch/entscheid/bl_gerichte_730 24 57</w:t>
      </w:r>
    </w:p>
    <w:p>
      <w:r>
        <w:t>FR: BL_GERICHTE 730 24 57 du 26 septembre 2024</w:t>
      </w:r>
    </w:p>
    <w:p>
      <w:r>
        <w:t>IT: BL_GERICHTE 730 24 57 del 26 settembre 2024</w:t>
      </w:r>
    </w:p>
    <w:p>
      <w:pPr>
        <w:pStyle w:val="Heading2"/>
      </w:pPr>
      <w:r>
        <w:t>Regeste</w:t>
      </w:r>
    </w:p>
    <w:p>
      <w:r>
        <w:t>Übernahme der Kosten für die kieferorthopädische Behandlung einer Gesichts-Asym metrie durch die obligatorische Krankenpflegeversicherung (Art. 17 lit. f Ziff. 3 KLV)</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Krankenversicherung (KVG) vom 18. März 1994 auf die Krankenversicherung anwendbar sind, kann gegen Einspracheentscheide der Krankenversicherer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aus dem Bereich der Krankenversicherung. Es ist somit auch sachlich zur Behandlung der vorliegenden Beschwerde zuständig. Auf die – im Übrigen frist- und formgerecht erhobene – Beschwerde vom 1. März 2024 ist demnach einzutreten.</w:t>
      </w:r>
    </w:p>
    <w:p>
      <w:r>
        <w:rPr>
          <w:b/>
        </w:rPr>
        <w:t>E. 2</w:t>
      </w:r>
    </w:p>
    <w:p>
      <w:r>
        <w:t>Es werden keine Verfahrenskosten erhoben.</w:t>
      </w:r>
    </w:p>
    <w:p>
      <w:r>
        <w:rPr>
          <w:b/>
        </w:rPr>
        <w:t>E. 3</w:t>
      </w:r>
    </w:p>
    <w:p>
      <w:r>
        <w:t>Die Beschwerdegegnerin hat dem Beschwerdeführer eine Parteientschädigung in der Höhe von insgesamt Fr. 4'732.10 (inkl. Auslagen und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